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064F8E"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064F8E"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064F8E" w:rsidRPr="00064F8E" w14:paraId="78CFD238"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0345E6B0" w14:textId="05EDFA0E" w:rsidR="00064F8E" w:rsidRPr="00064F8E" w:rsidRDefault="00064F8E" w:rsidP="00064F8E">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064F8E">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064F8E" w:rsidRPr="00064F8E" w:rsidRDefault="00064F8E" w:rsidP="00064F8E">
            <w:pPr>
              <w:spacing w:after="0" w:line="240" w:lineRule="auto"/>
              <w:jc w:val="center"/>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2</w:t>
            </w:r>
          </w:p>
        </w:tc>
      </w:tr>
      <w:tr w:rsidR="00064F8E" w:rsidRPr="00064F8E" w14:paraId="7AFD6A2D"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08F0524B" w14:textId="159E98DF"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4C0E024E"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Приватне акціонерне товариство "</w:t>
            </w:r>
            <w:proofErr w:type="spellStart"/>
            <w:r w:rsidRPr="00064F8E">
              <w:rPr>
                <w:rFonts w:ascii="Times New Roman" w:eastAsia="Times New Roman" w:hAnsi="Times New Roman" w:cs="Times New Roman"/>
                <w:kern w:val="0"/>
                <w:sz w:val="24"/>
                <w:szCs w:val="24"/>
                <w:lang w:eastAsia="uk-UA"/>
                <w14:ligatures w14:val="none"/>
              </w:rPr>
              <w:t>Чернігівоблбуд</w:t>
            </w:r>
            <w:proofErr w:type="spellEnd"/>
            <w:r w:rsidRPr="00064F8E">
              <w:rPr>
                <w:rFonts w:ascii="Times New Roman" w:eastAsia="Times New Roman" w:hAnsi="Times New Roman" w:cs="Times New Roman"/>
                <w:kern w:val="0"/>
                <w:sz w:val="24"/>
                <w:szCs w:val="24"/>
                <w:lang w:eastAsia="uk-UA"/>
                <w14:ligatures w14:val="none"/>
              </w:rPr>
              <w:t>"</w:t>
            </w:r>
          </w:p>
        </w:tc>
      </w:tr>
      <w:tr w:rsidR="00064F8E" w:rsidRPr="00064F8E" w14:paraId="70060849"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20367710" w14:textId="005B55D1"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248CEFF8"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03333653</w:t>
            </w:r>
          </w:p>
        </w:tc>
      </w:tr>
      <w:tr w:rsidR="00064F8E" w:rsidRPr="00064F8E" w14:paraId="19D7012E"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77CB8256" w14:textId="4AF7EC3F"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7C0C57CC"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вул. Олександра Довженка, буд. 138-А, м. Чернігів, Чернігівська обл., 14014, Україна</w:t>
            </w:r>
          </w:p>
        </w:tc>
      </w:tr>
      <w:tr w:rsidR="00064F8E" w:rsidRPr="00064F8E" w14:paraId="15832978"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141D7111" w14:textId="242F0502"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30.04.2026</w:t>
            </w:r>
          </w:p>
        </w:tc>
      </w:tr>
      <w:tr w:rsidR="00064F8E" w:rsidRPr="00064F8E" w14:paraId="6920157E"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0BC4FB20" w14:textId="3ADFD09B"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064F8E">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опитування (дистанційно)</w:t>
            </w:r>
          </w:p>
        </w:tc>
      </w:tr>
      <w:tr w:rsidR="00064F8E" w:rsidRPr="00064F8E" w14:paraId="2470FE88"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797A4A66" w14:textId="37528A99" w:rsidR="00064F8E" w:rsidRPr="00064F8E" w:rsidRDefault="00064F8E" w:rsidP="00064F8E">
            <w:pPr>
              <w:spacing w:after="0" w:line="240" w:lineRule="auto"/>
              <w:rPr>
                <w:rFonts w:ascii="Times New Roman" w:eastAsia="Times New Roman" w:hAnsi="Times New Roman" w:cs="Times New Roman"/>
                <w:kern w:val="0"/>
                <w:sz w:val="24"/>
                <w:szCs w:val="24"/>
                <w:highlight w:val="yellow"/>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064F8E">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7DCF4971"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w:t>
            </w:r>
          </w:p>
        </w:tc>
      </w:tr>
      <w:tr w:rsidR="00064F8E" w:rsidRPr="00064F8E" w14:paraId="5C73993A"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054F8685" w14:textId="749BE393"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064F8E">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1EC4A9E2"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w:t>
            </w:r>
          </w:p>
        </w:tc>
      </w:tr>
      <w:tr w:rsidR="00064F8E" w:rsidRPr="00064F8E" w14:paraId="17452C29"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29AE8BE5" w14:textId="1B766FFF"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27.04.2026</w:t>
            </w:r>
          </w:p>
        </w:tc>
      </w:tr>
      <w:tr w:rsidR="00064F8E" w:rsidRPr="00064F8E" w14:paraId="0A2BA657"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42CD59A9" w14:textId="29B34B33"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064F8E">
              <w:rPr>
                <w:rFonts w:ascii="Times New Roman" w:eastAsia="Times New Roman" w:hAnsi="Times New Roman" w:cs="Times New Roman"/>
                <w:kern w:val="0"/>
                <w:sz w:val="2"/>
                <w:szCs w:val="2"/>
                <w:vertAlign w:val="superscript"/>
                <w:lang w:eastAsia="uk-UA"/>
                <w14:ligatures w14:val="none"/>
              </w:rPr>
              <w:t xml:space="preserve"> </w:t>
            </w:r>
            <w:r w:rsidRPr="00064F8E">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t xml:space="preserve">Перелік питань, включених до </w:t>
            </w:r>
            <w:r w:rsidRPr="00064F8E">
              <w:rPr>
                <w:rFonts w:ascii="Times New Roman" w:eastAsia="Times New Roman" w:hAnsi="Times New Roman" w:cs="Times New Roman"/>
                <w:b/>
                <w:bCs/>
                <w:kern w:val="0"/>
                <w:sz w:val="24"/>
                <w:szCs w:val="24"/>
                <w:lang w:eastAsia="uk-UA"/>
                <w14:ligatures w14:val="none"/>
              </w:rPr>
              <w:t>проекту порядку денного</w:t>
            </w:r>
            <w:r w:rsidRPr="00064F8E">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126EC90C"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2025 рік.</w:t>
            </w:r>
          </w:p>
          <w:p w14:paraId="54A84981" w14:textId="2B0B03F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3. Затвердження порядку покриття збитків Товариства 2025 року.</w:t>
            </w:r>
          </w:p>
          <w:p w14:paraId="5718AE15"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4. Прийняття рішення про припинення повноважень членів Наглядової ради.</w:t>
            </w:r>
          </w:p>
          <w:p w14:paraId="68DB3BC2"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5. Обрання членів Наглядової ради.</w:t>
            </w:r>
          </w:p>
          <w:p w14:paraId="3D908367"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6.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7CAE895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2D48FC78"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Існує взаємозв’язок питання № 3 з питанням № 2, питання № 5 з питанням № 4, питання № 6 з питанням № 5. Взаємозв’язок між іншими питаннями, включеними до проекту порядку денного, відсутній.</w:t>
            </w:r>
          </w:p>
          <w:p w14:paraId="67001B7E" w14:textId="4533FED4"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064F8E" w:rsidRPr="00064F8E" w14:paraId="6D0483B0"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19FC0DAB" w14:textId="5E58BAE4"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Проекти рішень (крім кумулятивного голосування) </w:t>
            </w:r>
            <w:r w:rsidRPr="00064F8E">
              <w:rPr>
                <w:rFonts w:ascii="Times New Roman" w:eastAsia="Times New Roman" w:hAnsi="Times New Roman" w:cs="Times New Roman"/>
                <w:kern w:val="0"/>
                <w:sz w:val="24"/>
                <w:szCs w:val="24"/>
                <w:lang w:eastAsia="uk-UA"/>
                <w14:ligatures w14:val="none"/>
              </w:rPr>
              <w:lastRenderedPageBreak/>
              <w:t>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lastRenderedPageBreak/>
              <w:t>Проект рішення № 1 з питання № 1:</w:t>
            </w:r>
          </w:p>
          <w:p w14:paraId="352A061E"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8396BC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t>Проект рішення № 1 з питання № 2:</w:t>
            </w:r>
          </w:p>
          <w:p w14:paraId="0876F7A2"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5706BC4B"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t>Проект рішення № 1 з питання № 3:</w:t>
            </w:r>
          </w:p>
          <w:p w14:paraId="5DED8919" w14:textId="53DBCC81"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ru-RU"/>
                <w14:ligatures w14:val="none"/>
              </w:rPr>
              <w:t>Збитки в сумі 9.338,4 тис. грн, отримані за результатами діяльності Товариства у 2025 році, не покривати.</w:t>
            </w:r>
          </w:p>
          <w:p w14:paraId="7CB16197"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BF9D212"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t>Проект рішення № 1 з питання № 4:</w:t>
            </w:r>
          </w:p>
          <w:p w14:paraId="79FCCBE3"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Припинити повноваження членів Наглядової ради:</w:t>
            </w:r>
          </w:p>
          <w:p w14:paraId="7226AB03" w14:textId="4D571AD1"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 </w:t>
            </w:r>
            <w:proofErr w:type="spellStart"/>
            <w:r w:rsidRPr="00064F8E">
              <w:rPr>
                <w:rFonts w:ascii="Times New Roman" w:eastAsia="Times New Roman" w:hAnsi="Times New Roman" w:cs="Times New Roman"/>
                <w:kern w:val="0"/>
                <w:sz w:val="24"/>
                <w:szCs w:val="24"/>
                <w:lang w:eastAsia="uk-UA"/>
                <w14:ligatures w14:val="none"/>
              </w:rPr>
              <w:t>Шавлак</w:t>
            </w:r>
            <w:proofErr w:type="spellEnd"/>
            <w:r w:rsidRPr="00064F8E">
              <w:rPr>
                <w:rFonts w:ascii="Times New Roman" w:eastAsia="Times New Roman" w:hAnsi="Times New Roman" w:cs="Times New Roman"/>
                <w:kern w:val="0"/>
                <w:sz w:val="24"/>
                <w:szCs w:val="24"/>
                <w:lang w:eastAsia="uk-UA"/>
                <w14:ligatures w14:val="none"/>
              </w:rPr>
              <w:t xml:space="preserve"> Леся Вікторівна - голова;</w:t>
            </w:r>
          </w:p>
          <w:p w14:paraId="507B937E" w14:textId="25023AAB"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Коломієць Ігор Володимирович;</w:t>
            </w:r>
          </w:p>
          <w:p w14:paraId="2FD616ED" w14:textId="5CA57EB3"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Шляхтич Наталія Станіславівна.</w:t>
            </w:r>
          </w:p>
          <w:p w14:paraId="433A46E2"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DBE1C3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Проектів рішень з питання № 5 чинне законодавство не передбачає. Члени Наглядової ради будуть обрані шляхом кумулятивного голосування за запропоновані кандидатури.</w:t>
            </w:r>
          </w:p>
          <w:p w14:paraId="714CB108"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6307E5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Проект рішення № 1 з питання № 6:</w:t>
            </w:r>
          </w:p>
          <w:p w14:paraId="554256B0" w14:textId="392E37C1"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64F8E">
              <w:rPr>
                <w:rFonts w:ascii="Times New Roman" w:eastAsia="Times New Roman" w:hAnsi="Times New Roman" w:cs="Times New Roman"/>
                <w:kern w:val="0"/>
                <w:sz w:val="24"/>
                <w:szCs w:val="24"/>
                <w:lang w:eastAsia="uk-UA"/>
                <w14:ligatures w14:val="none"/>
              </w:rPr>
              <w:t>Затвердити умови безоплатних цивільно-правових договорів, що укладаються з членами Наглядової ради, (проекти договорів додаються). Обрати Директора Товариства особою, уповноваженою на підписання цих договорів з членами Наглядової ради.</w:t>
            </w:r>
          </w:p>
        </w:tc>
      </w:tr>
      <w:tr w:rsidR="00064F8E" w:rsidRPr="00064F8E" w14:paraId="0E44BA9A"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5743025E" w14:textId="0D06B517"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21432C8A"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proofErr w:type="spellStart"/>
            <w:r w:rsidRPr="00064F8E">
              <w:rPr>
                <w:rFonts w:ascii="Times New Roman" w:eastAsia="Times New Roman" w:hAnsi="Times New Roman" w:cs="Times New Roman"/>
                <w:kern w:val="0"/>
                <w:sz w:val="24"/>
                <w:szCs w:val="24"/>
                <w:lang w:eastAsia="uk-UA"/>
                <w14:ligatures w14:val="none"/>
              </w:rPr>
              <w:t>http</w:t>
            </w:r>
            <w:proofErr w:type="spellEnd"/>
            <w:r w:rsidRPr="00064F8E">
              <w:rPr>
                <w:rFonts w:ascii="Times New Roman" w:eastAsia="Times New Roman" w:hAnsi="Times New Roman" w:cs="Times New Roman"/>
                <w:kern w:val="0"/>
                <w:sz w:val="24"/>
                <w:szCs w:val="24"/>
                <w:lang w:val="en-US" w:eastAsia="uk-UA"/>
                <w14:ligatures w14:val="none"/>
              </w:rPr>
              <w:t>s</w:t>
            </w:r>
            <w:r w:rsidRPr="00064F8E">
              <w:rPr>
                <w:rFonts w:ascii="Times New Roman" w:eastAsia="Times New Roman" w:hAnsi="Times New Roman" w:cs="Times New Roman"/>
                <w:kern w:val="0"/>
                <w:sz w:val="24"/>
                <w:szCs w:val="24"/>
                <w:lang w:eastAsia="uk-UA"/>
                <w14:ligatures w14:val="none"/>
              </w:rPr>
              <w:t>://chern-obvbud.pat.ua</w:t>
            </w:r>
          </w:p>
        </w:tc>
      </w:tr>
      <w:tr w:rsidR="00064F8E" w:rsidRPr="00064F8E" w14:paraId="397B9AC2"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6CF6A74E" w14:textId="555DFB49"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064F8E">
              <w:rPr>
                <w:rFonts w:ascii="Times New Roman" w:eastAsia="Times New Roman" w:hAnsi="Times New Roman" w:cs="Times New Roman"/>
                <w:b/>
                <w:bCs/>
                <w:kern w:val="0"/>
                <w:sz w:val="24"/>
                <w:szCs w:val="24"/>
                <w:vertAlign w:val="superscript"/>
                <w:lang w:eastAsia="uk-UA"/>
                <w14:ligatures w14:val="none"/>
              </w:rPr>
              <w:t>4</w:t>
            </w:r>
            <w:r w:rsidRPr="00064F8E">
              <w:rPr>
                <w:rFonts w:ascii="Times New Roman" w:eastAsia="Times New Roman" w:hAnsi="Times New Roman" w:cs="Times New Roman"/>
                <w:kern w:val="0"/>
                <w:sz w:val="24"/>
                <w:szCs w:val="24"/>
                <w:lang w:eastAsia="uk-UA"/>
                <w14:ligatures w14:val="none"/>
              </w:rPr>
              <w:t xml:space="preserve">, та посадова особа </w:t>
            </w:r>
            <w:r w:rsidRPr="00064F8E">
              <w:rPr>
                <w:rFonts w:ascii="Times New Roman" w:eastAsia="Times New Roman" w:hAnsi="Times New Roman" w:cs="Times New Roman"/>
                <w:kern w:val="0"/>
                <w:sz w:val="2"/>
                <w:szCs w:val="2"/>
                <w:lang w:eastAsia="uk-UA"/>
                <w14:ligatures w14:val="none"/>
              </w:rPr>
              <w:t>-</w:t>
            </w:r>
            <w:r w:rsidRPr="00064F8E">
              <w:rPr>
                <w:rFonts w:ascii="Times New Roman" w:eastAsia="Times New Roman" w:hAnsi="Times New Roman" w:cs="Times New Roman"/>
                <w:b/>
                <w:bCs/>
                <w:kern w:val="0"/>
                <w:sz w:val="24"/>
                <w:szCs w:val="24"/>
                <w:vertAlign w:val="superscript"/>
                <w:lang w:eastAsia="uk-UA"/>
                <w14:ligatures w14:val="none"/>
              </w:rPr>
              <w:t>5</w:t>
            </w:r>
            <w:r w:rsidRPr="00064F8E">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382650F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Виноградова Віра Михайлівна, </w:t>
            </w:r>
            <w:proofErr w:type="spellStart"/>
            <w:r w:rsidRPr="00064F8E">
              <w:rPr>
                <w:rFonts w:ascii="Times New Roman" w:eastAsia="Times New Roman" w:hAnsi="Times New Roman" w:cs="Times New Roman"/>
                <w:kern w:val="0"/>
                <w:sz w:val="24"/>
                <w:szCs w:val="24"/>
                <w:lang w:eastAsia="uk-UA"/>
                <w14:ligatures w14:val="none"/>
              </w:rPr>
              <w:t>тел</w:t>
            </w:r>
            <w:proofErr w:type="spellEnd"/>
            <w:r w:rsidRPr="00064F8E">
              <w:rPr>
                <w:rFonts w:ascii="Times New Roman" w:eastAsia="Times New Roman" w:hAnsi="Times New Roman" w:cs="Times New Roman"/>
                <w:kern w:val="0"/>
                <w:sz w:val="24"/>
                <w:szCs w:val="24"/>
                <w:lang w:eastAsia="uk-UA"/>
                <w14:ligatures w14:val="none"/>
              </w:rPr>
              <w:t>. (050</w:t>
            </w:r>
            <w:r w:rsidRPr="00064F8E">
              <w:rPr>
                <w:rFonts w:ascii="Times New Roman" w:eastAsia="Times New Roman" w:hAnsi="Times New Roman" w:cs="Times New Roman"/>
                <w:kern w:val="0"/>
                <w:sz w:val="24"/>
                <w:szCs w:val="24"/>
                <w:lang w:val="ru-RU" w:eastAsia="uk-UA"/>
                <w14:ligatures w14:val="none"/>
              </w:rPr>
              <w:t xml:space="preserve">) </w:t>
            </w:r>
            <w:r w:rsidRPr="00064F8E">
              <w:rPr>
                <w:rFonts w:ascii="Times New Roman" w:eastAsia="Times New Roman" w:hAnsi="Times New Roman" w:cs="Times New Roman"/>
                <w:kern w:val="0"/>
                <w:sz w:val="24"/>
                <w:szCs w:val="24"/>
                <w:lang w:eastAsia="uk-UA"/>
                <w14:ligatures w14:val="none"/>
              </w:rPr>
              <w:t>465</w:t>
            </w:r>
            <w:r w:rsidRPr="00064F8E">
              <w:rPr>
                <w:rFonts w:ascii="Times New Roman" w:eastAsia="Times New Roman" w:hAnsi="Times New Roman" w:cs="Times New Roman"/>
                <w:kern w:val="0"/>
                <w:sz w:val="24"/>
                <w:szCs w:val="24"/>
                <w:lang w:val="ru-RU" w:eastAsia="uk-UA"/>
                <w14:ligatures w14:val="none"/>
              </w:rPr>
              <w:t xml:space="preserve"> </w:t>
            </w:r>
            <w:r w:rsidRPr="00064F8E">
              <w:rPr>
                <w:rFonts w:ascii="Times New Roman" w:eastAsia="Times New Roman" w:hAnsi="Times New Roman" w:cs="Times New Roman"/>
                <w:kern w:val="0"/>
                <w:sz w:val="24"/>
                <w:szCs w:val="24"/>
                <w:lang w:eastAsia="uk-UA"/>
                <w14:ligatures w14:val="none"/>
              </w:rPr>
              <w:t>84</w:t>
            </w:r>
            <w:r w:rsidRPr="00064F8E">
              <w:rPr>
                <w:rFonts w:ascii="Times New Roman" w:eastAsia="Times New Roman" w:hAnsi="Times New Roman" w:cs="Times New Roman"/>
                <w:kern w:val="0"/>
                <w:sz w:val="24"/>
                <w:szCs w:val="24"/>
                <w:lang w:val="ru-RU" w:eastAsia="uk-UA"/>
                <w14:ligatures w14:val="none"/>
              </w:rPr>
              <w:t xml:space="preserve"> </w:t>
            </w:r>
            <w:r w:rsidRPr="00064F8E">
              <w:rPr>
                <w:rFonts w:ascii="Times New Roman" w:eastAsia="Times New Roman" w:hAnsi="Times New Roman" w:cs="Times New Roman"/>
                <w:kern w:val="0"/>
                <w:sz w:val="24"/>
                <w:szCs w:val="24"/>
                <w:lang w:eastAsia="uk-UA"/>
                <w14:ligatures w14:val="none"/>
              </w:rPr>
              <w:t>12.</w:t>
            </w:r>
          </w:p>
          <w:p w14:paraId="0D16B602"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064F8E" w:rsidRPr="00064F8E" w14:paraId="5FAAAFA7"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5ABAEB12" w14:textId="117E07BF"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064F8E" w:rsidRPr="00064F8E" w14:paraId="1C1EFDBC" w14:textId="77777777" w:rsidTr="00064F8E">
        <w:trPr>
          <w:trHeight w:val="60"/>
        </w:trPr>
        <w:tc>
          <w:tcPr>
            <w:tcW w:w="1010" w:type="pct"/>
            <w:tcBorders>
              <w:top w:val="single" w:sz="6" w:space="0" w:color="000000"/>
              <w:left w:val="single" w:sz="6" w:space="0" w:color="000000"/>
              <w:bottom w:val="single" w:sz="6" w:space="0" w:color="000000"/>
              <w:right w:val="single" w:sz="6" w:space="0" w:color="000000"/>
            </w:tcBorders>
          </w:tcPr>
          <w:p w14:paraId="532BF2FB" w14:textId="2AFBF744"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064F8E" w:rsidRPr="00064F8E" w14:paraId="4B5D9853"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AFAE987" w14:textId="1F49AD1E"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064F8E">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w:t>
            </w:r>
            <w:r w:rsidRPr="00064F8E">
              <w:rPr>
                <w:rFonts w:ascii="Times New Roman" w:eastAsia="Times New Roman" w:hAnsi="Times New Roman" w:cs="Times New Roman"/>
                <w:kern w:val="0"/>
                <w:sz w:val="24"/>
                <w:szCs w:val="24"/>
                <w:lang w:eastAsia="uk-UA"/>
                <w14:ligatures w14:val="none"/>
              </w:rPr>
              <w:lastRenderedPageBreak/>
              <w:t xml:space="preserve">акціонерів Товариства (за потреби). Також як для акціонера, так і для представника в цій довіреності необхідно зазначити: </w:t>
            </w:r>
          </w:p>
          <w:p w14:paraId="07BB60BD"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064F8E" w:rsidRPr="00064F8E" w:rsidRDefault="00064F8E" w:rsidP="00064F8E">
            <w:pPr>
              <w:spacing w:after="0" w:line="240" w:lineRule="auto"/>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064F8E" w:rsidRPr="00064F8E" w14:paraId="408D7016"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333C4A5" w14:textId="68832153"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064F8E">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48622B6E"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w:t>
            </w:r>
          </w:p>
        </w:tc>
      </w:tr>
      <w:tr w:rsidR="00064F8E" w:rsidRPr="00064F8E" w14:paraId="5C3BEA62"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24CBD37" w14:textId="09A26DA8"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w:t>
            </w:r>
            <w:r w:rsidRPr="00064F8E">
              <w:rPr>
                <w:rFonts w:ascii="Times New Roman" w:eastAsia="Times New Roman" w:hAnsi="Times New Roman" w:cs="Times New Roman"/>
                <w:kern w:val="0"/>
                <w:sz w:val="24"/>
                <w:szCs w:val="24"/>
                <w:lang w:eastAsia="uk-UA"/>
                <w14:ligatures w14:val="none"/>
              </w:rPr>
              <w:lastRenderedPageBreak/>
              <w:t xml:space="preserve">вебсайті, на якій будуть розміщені бюлетені </w:t>
            </w:r>
            <w:r w:rsidRPr="00064F8E">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4058D761"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https://chern-obvbud.pat.ua/documents/informaciya-dlya-akcioneriv-ta-steikholderiv, скрізь у тексті повідомлення – "</w:t>
            </w:r>
            <w:r w:rsidRPr="00064F8E">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064F8E">
              <w:rPr>
                <w:rFonts w:ascii="Times New Roman" w:eastAsia="Times New Roman" w:hAnsi="Times New Roman" w:cs="Times New Roman"/>
                <w:kern w:val="0"/>
                <w:sz w:val="24"/>
                <w:szCs w:val="24"/>
                <w:lang w:eastAsia="uk-UA"/>
                <w14:ligatures w14:val="none"/>
              </w:rPr>
              <w:t>".</w:t>
            </w:r>
          </w:p>
          <w:p w14:paraId="63B0FEAE"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p w14:paraId="6D2269A6" w14:textId="3A9B7EB5"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064F8E">
              <w:rPr>
                <w:rFonts w:ascii="Times New Roman" w:eastAsia="Times New Roman" w:hAnsi="Times New Roman" w:cs="Times New Roman"/>
                <w:kern w:val="0"/>
                <w:sz w:val="24"/>
                <w:szCs w:val="24"/>
                <w:lang w:eastAsia="uk-UA"/>
                <w14:ligatures w14:val="none"/>
              </w:rPr>
              <w:t>Електронна форма бюлетеня для кумулятивного голосування буде розміщена 24.04.202</w:t>
            </w:r>
            <w:r w:rsidRPr="00064F8E">
              <w:rPr>
                <w:rFonts w:ascii="Times New Roman" w:eastAsia="Times New Roman" w:hAnsi="Times New Roman" w:cs="Times New Roman"/>
                <w:kern w:val="0"/>
                <w:sz w:val="24"/>
                <w:szCs w:val="24"/>
                <w:lang w:val="en-US" w:eastAsia="uk-UA"/>
                <w14:ligatures w14:val="none"/>
              </w:rPr>
              <w:t>6</w:t>
            </w:r>
            <w:r w:rsidRPr="00064F8E">
              <w:rPr>
                <w:rFonts w:ascii="Times New Roman" w:eastAsia="Times New Roman" w:hAnsi="Times New Roman" w:cs="Times New Roman"/>
                <w:kern w:val="0"/>
                <w:sz w:val="24"/>
                <w:szCs w:val="24"/>
                <w:lang w:eastAsia="uk-UA"/>
                <w14:ligatures w14:val="none"/>
              </w:rPr>
              <w:t xml:space="preserve"> у вільному для акціонерів доступі за Адресою спеціальної сторінки на власному вебсайті Товариства.</w:t>
            </w:r>
          </w:p>
        </w:tc>
      </w:tr>
      <w:tr w:rsidR="00064F8E" w:rsidRPr="00064F8E" w14:paraId="58C114FA"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F254623" w14:textId="37558D37"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надсилання до депозитарної установи бюлетенів для голосування </w:t>
            </w:r>
            <w:r w:rsidRPr="00064F8E">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064F8E" w:rsidRPr="00064F8E" w:rsidRDefault="00064F8E" w:rsidP="00064F8E">
            <w:pPr>
              <w:spacing w:after="0" w:line="240" w:lineRule="auto"/>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Початок: 20.04.2026 11:00</w:t>
            </w:r>
          </w:p>
          <w:p w14:paraId="023C276C" w14:textId="1F8093EF" w:rsidR="00064F8E" w:rsidRPr="00064F8E" w:rsidRDefault="00064F8E" w:rsidP="00064F8E">
            <w:pPr>
              <w:spacing w:after="0" w:line="240" w:lineRule="auto"/>
              <w:jc w:val="both"/>
              <w:rPr>
                <w:rFonts w:ascii="Times New Roman" w:eastAsia="Times New Roman" w:hAnsi="Times New Roman" w:cs="Times New Roman"/>
                <w:i/>
                <w:iCs/>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Завершення: </w:t>
            </w:r>
            <w:r w:rsidRPr="00064F8E">
              <w:rPr>
                <w:rFonts w:ascii="Times New Roman" w:eastAsia="Times New Roman" w:hAnsi="Times New Roman" w:cs="Times New Roman"/>
                <w:kern w:val="0"/>
                <w:sz w:val="24"/>
                <w:szCs w:val="24"/>
                <w:lang w:val="en-US" w:eastAsia="uk-UA"/>
                <w14:ligatures w14:val="none"/>
              </w:rPr>
              <w:t>30</w:t>
            </w:r>
            <w:r w:rsidRPr="00064F8E">
              <w:rPr>
                <w:rFonts w:ascii="Times New Roman" w:eastAsia="Times New Roman" w:hAnsi="Times New Roman" w:cs="Times New Roman"/>
                <w:kern w:val="0"/>
                <w:sz w:val="24"/>
                <w:szCs w:val="24"/>
                <w:lang w:eastAsia="uk-UA"/>
                <w14:ligatures w14:val="none"/>
              </w:rPr>
              <w:t>.04.2026 18:00</w:t>
            </w:r>
          </w:p>
        </w:tc>
      </w:tr>
      <w:tr w:rsidR="00064F8E" w:rsidRPr="00064F8E" w14:paraId="7D078C1E"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48CD7DF" w14:textId="68173FE2"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064F8E">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FE01B91"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w:t>
            </w:r>
          </w:p>
        </w:tc>
      </w:tr>
      <w:tr w:rsidR="00064F8E" w:rsidRPr="00064F8E" w14:paraId="2D951076"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AD21480" w14:textId="5EFAB730"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064F8E">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48B4623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20.04.2026 та завершується о 18:00 </w:t>
            </w:r>
            <w:r w:rsidRPr="00064F8E">
              <w:rPr>
                <w:rFonts w:ascii="Times New Roman" w:eastAsia="Times New Roman" w:hAnsi="Times New Roman" w:cs="Times New Roman"/>
                <w:kern w:val="0"/>
                <w:sz w:val="24"/>
                <w:szCs w:val="24"/>
                <w:lang w:val="en-US" w:eastAsia="uk-UA"/>
                <w14:ligatures w14:val="none"/>
              </w:rPr>
              <w:t>30</w:t>
            </w:r>
            <w:r w:rsidRPr="00064F8E">
              <w:rPr>
                <w:rFonts w:ascii="Times New Roman" w:eastAsia="Times New Roman" w:hAnsi="Times New Roman" w:cs="Times New Roman"/>
                <w:kern w:val="0"/>
                <w:sz w:val="24"/>
                <w:szCs w:val="24"/>
                <w:lang w:eastAsia="uk-UA"/>
                <w14:ligatures w14:val="none"/>
              </w:rPr>
              <w:t xml:space="preserve">.04.2026. </w:t>
            </w:r>
          </w:p>
          <w:p w14:paraId="43C2BDC2" w14:textId="1F367E35"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Надсилання (надання) до відповідної депозитарної установи бюлетенів для кумулятивного голосування починається об 11:00 24.04.202</w:t>
            </w:r>
            <w:r w:rsidRPr="00064F8E">
              <w:rPr>
                <w:rFonts w:ascii="Times New Roman" w:eastAsia="Times New Roman" w:hAnsi="Times New Roman" w:cs="Times New Roman"/>
                <w:kern w:val="0"/>
                <w:sz w:val="24"/>
                <w:szCs w:val="24"/>
                <w:lang w:val="en-US" w:eastAsia="uk-UA"/>
                <w14:ligatures w14:val="none"/>
              </w:rPr>
              <w:t>6</w:t>
            </w:r>
            <w:r w:rsidRPr="00064F8E">
              <w:rPr>
                <w:rFonts w:ascii="Times New Roman" w:eastAsia="Times New Roman" w:hAnsi="Times New Roman" w:cs="Times New Roman"/>
                <w:kern w:val="0"/>
                <w:sz w:val="24"/>
                <w:szCs w:val="24"/>
                <w:lang w:eastAsia="uk-UA"/>
                <w14:ligatures w14:val="none"/>
              </w:rPr>
              <w:t xml:space="preserve"> та завершується о 18:00 30.04.202</w:t>
            </w:r>
            <w:r w:rsidRPr="00064F8E">
              <w:rPr>
                <w:rFonts w:ascii="Times New Roman" w:eastAsia="Times New Roman" w:hAnsi="Times New Roman" w:cs="Times New Roman"/>
                <w:kern w:val="0"/>
                <w:sz w:val="24"/>
                <w:szCs w:val="24"/>
                <w:lang w:val="en-US" w:eastAsia="uk-UA"/>
                <w14:ligatures w14:val="none"/>
              </w:rPr>
              <w:t>6</w:t>
            </w:r>
            <w:r w:rsidRPr="00064F8E">
              <w:rPr>
                <w:rFonts w:ascii="Times New Roman" w:eastAsia="Times New Roman" w:hAnsi="Times New Roman" w:cs="Times New Roman"/>
                <w:kern w:val="0"/>
                <w:sz w:val="24"/>
                <w:szCs w:val="24"/>
                <w:lang w:eastAsia="uk-UA"/>
                <w14:ligatures w14:val="none"/>
              </w:rPr>
              <w:t xml:space="preserve">. </w:t>
            </w:r>
          </w:p>
          <w:p w14:paraId="7CD2B6B3" w14:textId="4226B1AF"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valmelnikva@gmail.com, скрізь у тексті повідомлення – "</w:t>
            </w:r>
            <w:r w:rsidRPr="00064F8E">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064F8E">
              <w:rPr>
                <w:rFonts w:ascii="Times New Roman" w:eastAsia="Times New Roman" w:hAnsi="Times New Roman" w:cs="Times New Roman"/>
                <w:kern w:val="0"/>
                <w:sz w:val="24"/>
                <w:szCs w:val="24"/>
                <w:lang w:eastAsia="uk-UA"/>
                <w14:ligatures w14:val="none"/>
              </w:rPr>
              <w:t>".</w:t>
            </w:r>
          </w:p>
          <w:p w14:paraId="38E44731" w14:textId="6A77D6A1"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w:t>
            </w:r>
            <w:r w:rsidRPr="00064F8E">
              <w:rPr>
                <w:rFonts w:ascii="Times New Roman" w:eastAsia="Times New Roman" w:hAnsi="Times New Roman" w:cs="Times New Roman"/>
                <w:kern w:val="0"/>
                <w:sz w:val="24"/>
                <w:szCs w:val="24"/>
                <w:lang w:eastAsia="uk-UA"/>
                <w14:ligatures w14:val="none"/>
              </w:rPr>
              <w:lastRenderedPageBreak/>
              <w:t>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064F8E">
              <w:rPr>
                <w:rFonts w:ascii="Times New Roman" w:eastAsia="Times New Roman" w:hAnsi="Times New Roman" w:cs="Times New Roman"/>
                <w:kern w:val="0"/>
                <w:sz w:val="24"/>
                <w:szCs w:val="24"/>
                <w:lang w:eastAsia="uk-UA"/>
                <w14:ligatures w14:val="none"/>
              </w:rPr>
              <w:t>дематеріалізації</w:t>
            </w:r>
            <w:proofErr w:type="spellEnd"/>
            <w:r w:rsidRPr="00064F8E">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064F8E" w:rsidRPr="00064F8E" w:rsidRDefault="00064F8E" w:rsidP="00064F8E">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064F8E" w:rsidRPr="00064F8E" w14:paraId="03D0DB12"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EB8C835" w14:textId="53529077"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23D50F46"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Протокол засідання Наглядової ради № 1Д від 26.03.2026.</w:t>
            </w:r>
          </w:p>
        </w:tc>
      </w:tr>
      <w:tr w:rsidR="00064F8E" w:rsidRPr="00064F8E" w14:paraId="38370782" w14:textId="77777777" w:rsidTr="00064F8E">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416BB1B" w14:textId="217D11E1"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06CF4226" w:rsidR="00064F8E" w:rsidRP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r w:rsidRPr="00064F8E">
              <w:rPr>
                <w:rFonts w:ascii="Times New Roman" w:eastAsia="Times New Roman" w:hAnsi="Times New Roman" w:cs="Times New Roman"/>
                <w:kern w:val="0"/>
                <w:sz w:val="24"/>
                <w:szCs w:val="24"/>
                <w:lang w:eastAsia="uk-UA"/>
                <w14:ligatures w14:val="none"/>
              </w:rPr>
              <w:t>30.03.2026</w:t>
            </w:r>
          </w:p>
        </w:tc>
      </w:tr>
    </w:tbl>
    <w:p w14:paraId="73C83D5F" w14:textId="77777777" w:rsidR="00064F8E" w:rsidRDefault="00064F8E" w:rsidP="00064F8E">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B109B8">
        <w:rPr>
          <w:rFonts w:ascii="Times New Roman" w:eastAsia="Times New Roman" w:hAnsi="Times New Roman" w:cs="Times New Roman"/>
          <w:kern w:val="0"/>
          <w:sz w:val="24"/>
          <w:szCs w:val="24"/>
          <w:lang w:eastAsia="uk-UA"/>
          <w14:ligatures w14:val="none"/>
        </w:rPr>
        <w:t xml:space="preserve">__________ </w:t>
      </w:r>
    </w:p>
    <w:p w14:paraId="63E769E8" w14:textId="77777777" w:rsidR="00064F8E" w:rsidRPr="007834F5" w:rsidRDefault="00064F8E" w:rsidP="00064F8E">
      <w:pPr>
        <w:spacing w:after="0" w:line="240" w:lineRule="auto"/>
        <w:rPr>
          <w:rFonts w:ascii="Times New Roman" w:hAnsi="Times New Roman" w:cs="Times New Roman"/>
          <w:sz w:val="24"/>
          <w:szCs w:val="24"/>
          <w:lang w:val="en-US"/>
        </w:rPr>
      </w:pPr>
      <w:r w:rsidRPr="00B109B8">
        <w:rPr>
          <w:rFonts w:ascii="Times New Roman" w:hAnsi="Times New Roman" w:cs="Times New Roman"/>
          <w:b/>
          <w:bCs/>
          <w:sz w:val="24"/>
          <w:szCs w:val="24"/>
          <w:vertAlign w:val="superscript"/>
        </w:rPr>
        <w:t>1</w:t>
      </w:r>
      <w:r w:rsidRPr="00B109B8">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2</w:t>
      </w:r>
      <w:r w:rsidRPr="00B109B8">
        <w:rPr>
          <w:rFonts w:ascii="Times New Roman" w:hAnsi="Times New Roman" w:cs="Times New Roman"/>
          <w:sz w:val="24"/>
          <w:szCs w:val="24"/>
        </w:rPr>
        <w:t xml:space="preserve"> У разі проведення очних або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3</w:t>
      </w:r>
      <w:r w:rsidRPr="00B109B8">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4</w:t>
      </w:r>
      <w:r w:rsidRPr="00B109B8">
        <w:rPr>
          <w:rFonts w:ascii="Times New Roman" w:hAnsi="Times New Roman" w:cs="Times New Roman"/>
          <w:sz w:val="24"/>
          <w:szCs w:val="24"/>
        </w:rPr>
        <w:t xml:space="preserve"> Включаючи визначене місце для ознайомлення (номер кімнати, офісу тощо).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5</w:t>
      </w:r>
      <w:r w:rsidRPr="00B109B8">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6</w:t>
      </w:r>
      <w:r w:rsidRPr="00B109B8">
        <w:rPr>
          <w:rFonts w:ascii="Times New Roman" w:hAnsi="Times New Roman" w:cs="Times New Roman"/>
          <w:sz w:val="24"/>
          <w:szCs w:val="24"/>
        </w:rPr>
        <w:t xml:space="preserve"> У разі проведення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7</w:t>
      </w:r>
      <w:r w:rsidRPr="00B109B8">
        <w:rPr>
          <w:rFonts w:ascii="Times New Roman" w:hAnsi="Times New Roman" w:cs="Times New Roman"/>
          <w:sz w:val="24"/>
          <w:szCs w:val="24"/>
        </w:rPr>
        <w:t xml:space="preserve"> У разі проведення дистанційних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8</w:t>
      </w:r>
      <w:r w:rsidRPr="00B109B8">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9</w:t>
      </w:r>
      <w:r w:rsidRPr="00B109B8">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064F8E"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F33A" w14:textId="77777777" w:rsidR="00806023" w:rsidRDefault="00806023" w:rsidP="0015157B">
      <w:pPr>
        <w:spacing w:after="0" w:line="240" w:lineRule="auto"/>
      </w:pPr>
      <w:r>
        <w:separator/>
      </w:r>
    </w:p>
  </w:endnote>
  <w:endnote w:type="continuationSeparator" w:id="0">
    <w:p w14:paraId="5A9B8B24" w14:textId="77777777" w:rsidR="00806023" w:rsidRDefault="00806023"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2A86" w14:textId="77777777" w:rsidR="00806023" w:rsidRDefault="00806023" w:rsidP="0015157B">
      <w:pPr>
        <w:spacing w:after="0" w:line="240" w:lineRule="auto"/>
      </w:pPr>
      <w:r>
        <w:separator/>
      </w:r>
    </w:p>
  </w:footnote>
  <w:footnote w:type="continuationSeparator" w:id="0">
    <w:p w14:paraId="481FBB0A" w14:textId="77777777" w:rsidR="00806023" w:rsidRDefault="00806023"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64F8E"/>
    <w:rsid w:val="000750AE"/>
    <w:rsid w:val="00077553"/>
    <w:rsid w:val="00077D3A"/>
    <w:rsid w:val="000A53C6"/>
    <w:rsid w:val="000A6DCC"/>
    <w:rsid w:val="000B0E32"/>
    <w:rsid w:val="000B7381"/>
    <w:rsid w:val="000C53F7"/>
    <w:rsid w:val="00120814"/>
    <w:rsid w:val="00141707"/>
    <w:rsid w:val="0015157B"/>
    <w:rsid w:val="00156FDE"/>
    <w:rsid w:val="001816D8"/>
    <w:rsid w:val="0018281C"/>
    <w:rsid w:val="001B0EC6"/>
    <w:rsid w:val="001B4A8F"/>
    <w:rsid w:val="001B6AA7"/>
    <w:rsid w:val="001C7799"/>
    <w:rsid w:val="001D312F"/>
    <w:rsid w:val="002054E9"/>
    <w:rsid w:val="00241A9E"/>
    <w:rsid w:val="0027354B"/>
    <w:rsid w:val="0033568F"/>
    <w:rsid w:val="0034318A"/>
    <w:rsid w:val="00373484"/>
    <w:rsid w:val="00373BE2"/>
    <w:rsid w:val="003B1758"/>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4F0152"/>
    <w:rsid w:val="005042E7"/>
    <w:rsid w:val="00517EE9"/>
    <w:rsid w:val="00521307"/>
    <w:rsid w:val="00527EC9"/>
    <w:rsid w:val="00541023"/>
    <w:rsid w:val="00543507"/>
    <w:rsid w:val="00545C64"/>
    <w:rsid w:val="005D038D"/>
    <w:rsid w:val="005D2243"/>
    <w:rsid w:val="005D361B"/>
    <w:rsid w:val="006061DA"/>
    <w:rsid w:val="00626114"/>
    <w:rsid w:val="00627AE7"/>
    <w:rsid w:val="00636D35"/>
    <w:rsid w:val="00637C87"/>
    <w:rsid w:val="00666668"/>
    <w:rsid w:val="006718A4"/>
    <w:rsid w:val="006748C3"/>
    <w:rsid w:val="00683F3B"/>
    <w:rsid w:val="00686C00"/>
    <w:rsid w:val="00691946"/>
    <w:rsid w:val="006D07E7"/>
    <w:rsid w:val="006E394E"/>
    <w:rsid w:val="007064DB"/>
    <w:rsid w:val="00721C4E"/>
    <w:rsid w:val="007222FF"/>
    <w:rsid w:val="00730E3D"/>
    <w:rsid w:val="0074273C"/>
    <w:rsid w:val="0075472C"/>
    <w:rsid w:val="007A565F"/>
    <w:rsid w:val="007B0E35"/>
    <w:rsid w:val="007B27D6"/>
    <w:rsid w:val="007D4B98"/>
    <w:rsid w:val="007D55F4"/>
    <w:rsid w:val="007E244E"/>
    <w:rsid w:val="007E49B5"/>
    <w:rsid w:val="00806023"/>
    <w:rsid w:val="008140F0"/>
    <w:rsid w:val="00824197"/>
    <w:rsid w:val="008327DF"/>
    <w:rsid w:val="00840E52"/>
    <w:rsid w:val="00850D1C"/>
    <w:rsid w:val="00852EC7"/>
    <w:rsid w:val="00875120"/>
    <w:rsid w:val="00883FB6"/>
    <w:rsid w:val="008A4480"/>
    <w:rsid w:val="008D354D"/>
    <w:rsid w:val="008E5455"/>
    <w:rsid w:val="008F66DA"/>
    <w:rsid w:val="00931E94"/>
    <w:rsid w:val="00931F36"/>
    <w:rsid w:val="009354AD"/>
    <w:rsid w:val="0095752B"/>
    <w:rsid w:val="00963AAE"/>
    <w:rsid w:val="00995ECA"/>
    <w:rsid w:val="009A4670"/>
    <w:rsid w:val="009A4E37"/>
    <w:rsid w:val="009B34F8"/>
    <w:rsid w:val="009B5FCE"/>
    <w:rsid w:val="009C22A8"/>
    <w:rsid w:val="009D6A18"/>
    <w:rsid w:val="009E4A7C"/>
    <w:rsid w:val="00A25409"/>
    <w:rsid w:val="00A41A48"/>
    <w:rsid w:val="00A42A80"/>
    <w:rsid w:val="00A5040A"/>
    <w:rsid w:val="00A6037B"/>
    <w:rsid w:val="00A65C3B"/>
    <w:rsid w:val="00A96CA0"/>
    <w:rsid w:val="00AA1083"/>
    <w:rsid w:val="00AC3F16"/>
    <w:rsid w:val="00AD096A"/>
    <w:rsid w:val="00AD7D16"/>
    <w:rsid w:val="00AE1D2A"/>
    <w:rsid w:val="00B26462"/>
    <w:rsid w:val="00B40B79"/>
    <w:rsid w:val="00B47933"/>
    <w:rsid w:val="00B51CCD"/>
    <w:rsid w:val="00B53807"/>
    <w:rsid w:val="00B5627F"/>
    <w:rsid w:val="00B75C00"/>
    <w:rsid w:val="00B90546"/>
    <w:rsid w:val="00BB46C1"/>
    <w:rsid w:val="00BD4A1E"/>
    <w:rsid w:val="00C00E63"/>
    <w:rsid w:val="00C03546"/>
    <w:rsid w:val="00C10DED"/>
    <w:rsid w:val="00C67D72"/>
    <w:rsid w:val="00C73ABB"/>
    <w:rsid w:val="00C7664F"/>
    <w:rsid w:val="00C805E5"/>
    <w:rsid w:val="00CB2804"/>
    <w:rsid w:val="00CC6635"/>
    <w:rsid w:val="00D126A5"/>
    <w:rsid w:val="00D33035"/>
    <w:rsid w:val="00D96BC8"/>
    <w:rsid w:val="00DA62F6"/>
    <w:rsid w:val="00DC0503"/>
    <w:rsid w:val="00DD14C7"/>
    <w:rsid w:val="00DE4810"/>
    <w:rsid w:val="00E06CC9"/>
    <w:rsid w:val="00E07B99"/>
    <w:rsid w:val="00E5232E"/>
    <w:rsid w:val="00E67F70"/>
    <w:rsid w:val="00E71983"/>
    <w:rsid w:val="00E737D2"/>
    <w:rsid w:val="00E77833"/>
    <w:rsid w:val="00E9229F"/>
    <w:rsid w:val="00EA2905"/>
    <w:rsid w:val="00EC6702"/>
    <w:rsid w:val="00ED32DA"/>
    <w:rsid w:val="00EF1987"/>
    <w:rsid w:val="00EF7FA7"/>
    <w:rsid w:val="00F00BA5"/>
    <w:rsid w:val="00F05E49"/>
    <w:rsid w:val="00F152C0"/>
    <w:rsid w:val="00F25D5B"/>
    <w:rsid w:val="00F352CD"/>
    <w:rsid w:val="00F85A28"/>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7</Pages>
  <Words>12739</Words>
  <Characters>7262</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131</cp:revision>
  <dcterms:created xsi:type="dcterms:W3CDTF">2024-02-19T11:42:00Z</dcterms:created>
  <dcterms:modified xsi:type="dcterms:W3CDTF">2026-03-30T12:04:00Z</dcterms:modified>
</cp:coreProperties>
</file>